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пропускном и внутриобъектовом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lastRenderedPageBreak/>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внутриобъектового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Работники предприятия, подрядных и иных сторонних организаций, обязаны знать и выполнять требования настоящего Положения, пресекать нарушения внутриобъектового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Контроль за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ОК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предприятия, организации, службы и подразделения ОК,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r w:rsidRPr="007579E6">
        <w:rPr>
          <w:rFonts w:ascii="Times New Roman" w:eastAsia="Times New Roman" w:hAnsi="Times New Roman" w:cs="Times New Roman"/>
          <w:sz w:val="24"/>
          <w:szCs w:val="24"/>
          <w:lang w:eastAsia="ru-RU"/>
        </w:rPr>
        <w:lastRenderedPageBreak/>
        <w:t>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порядок, устанавливаемый руководителем объекта 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xml:space="preserve">–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обстоятельств криминогенного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охранных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заступлением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место или участок местности, на котором работники охраны выполняют возложенные на них обязанности по осуществлению пропускного и внутриобъектового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объекта(ов)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средств в порядке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t>Внутриобъектовый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а объектах,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объектах,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r w:rsidRPr="006F7A3E">
        <w:rPr>
          <w:rFonts w:ascii="Times New Roman" w:eastAsia="Times New Roman" w:hAnsi="Times New Roman" w:cs="Times New Roman"/>
          <w:sz w:val="24"/>
          <w:szCs w:val="24"/>
          <w:lang w:eastAsia="ru-RU"/>
        </w:rPr>
        <w:t>Внутриобъектовый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внутриобъектового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внутриобъектового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ТМЦ, складированные на открытых складах,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площадях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 (кроме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относящимся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 xml:space="preserve">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средств служб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необорудованных площадках;</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Транспортный пропуск подлежит возврату по истечению срока изъятия на основании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водоисточникам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за:</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13 «КПП «МИР» - для прохода работников и проезда автотранспорта на территорию Мазульского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средств при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Кия-Шалтырского нефелинового рудника – КПП «Центральный» для прохода работников и проезда транспортных средств, ввоза /вывоза ТМЦ на территорию / с территории Кия-Шалтырского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Кия-Шалтырского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до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заказчиками-Сибирь,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 xml:space="preserve">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коронавирсную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Медицинский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основании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основании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служебный автотранспорт АО «РУСАЛ Ачинск» оформляются (продлеваются) на основании служебной записки руководителя структурного подразделения АО «РУСАЛ Ачинск» согласованной менеджером (по режиму и охране). Весь транспорт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основании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договор с медицинским учреждением на проведение водителям обязательного пред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предоставляются иные документы,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Кураторы договоров с подрядными организациями контролируют наличие и работоспособность системы спутникового мониторинга и контроля автотранспорта «АвтоГРАФ», на автотранспорте, осуществляющим коммерческую деятельность на территории промплощадки АО «РУСАЛ Ачинск». Использование транспорта не оборудованного системой спутникового мониторинга и контроля автотранспорта «АвтоГРАФ»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мотоциклах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средств производится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контрольно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турникете.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в отношении работника оформляется акт о нарушении пропускного и внутриобъектового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внутриобъектового режимов, сообщает начальнику смены, который принимает решение  о вызове сотрудников полиции для проведения досмотра. 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 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–вывоза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пропуск к считывателю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пропуск к считывателю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средства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товарно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внутриобъектового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внутриобъектового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Производить личный осмотр, осмотр транспортных средств, проверку документов и вещей у лиц и составлять акт о нарушении пропускного и внутриобъектового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внутриобъектовый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вывозимых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Контролировать соблюдение пропускного и внутриобъектового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промплощадке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Задерживать нарушителей пропускного и внутриобъектового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задержанных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согласно схемы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алкогольного опьянения – используется сертифицированный прибор/анализатор  для определения концентрации паров этанола.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суточную.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алкотестера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предсменного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 При отказе от прохождения предварительного контроля трезвости, и (или) предсменного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основании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P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498" w:type="dxa"/>
        <w:tblInd w:w="108" w:type="dxa"/>
        <w:tblLook w:val="0000" w:firstRow="0" w:lastRow="0" w:firstColumn="0" w:lastColumn="0" w:noHBand="0" w:noVBand="0"/>
      </w:tblPr>
      <w:tblGrid>
        <w:gridCol w:w="4749"/>
        <w:gridCol w:w="4749"/>
      </w:tblGrid>
      <w:tr w:rsidR="00B02C40" w:rsidRPr="00B02C40" w:rsidTr="006E29B5">
        <w:trPr>
          <w:trHeight w:val="420"/>
        </w:trPr>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Генеральныйподрядчик</w:t>
            </w:r>
            <w:r w:rsidR="00B02C40" w:rsidRPr="00B02C40">
              <w:rPr>
                <w:rFonts w:ascii="Times New Roman" w:hAnsi="Times New Roman" w:cs="Times New Roman"/>
                <w:b/>
                <w:bCs/>
                <w:sz w:val="24"/>
                <w:szCs w:val="24"/>
              </w:rPr>
              <w:t>:</w:t>
            </w:r>
          </w:p>
          <w:p w:rsidR="00B02C40" w:rsidRPr="00B02C40" w:rsidRDefault="00B5778D" w:rsidP="006E29B5">
            <w:pPr>
              <w:keepLines/>
              <w:suppressAutoHyphens/>
              <w:rPr>
                <w:rFonts w:ascii="Times New Roman" w:hAnsi="Times New Roman" w:cs="Times New Roman"/>
                <w:sz w:val="24"/>
                <w:szCs w:val="24"/>
              </w:rPr>
            </w:pPr>
            <w:r>
              <w:rPr>
                <w:rFonts w:ascii="Times New Roman" w:hAnsi="Times New Roman" w:cs="Times New Roman"/>
                <w:bCs/>
                <w:sz w:val="24"/>
                <w:szCs w:val="24"/>
              </w:rPr>
              <w:t>Генеральный д</w:t>
            </w:r>
            <w:r w:rsidRPr="00B02C40">
              <w:rPr>
                <w:rFonts w:ascii="Times New Roman" w:hAnsi="Times New Roman" w:cs="Times New Roman"/>
                <w:bCs/>
                <w:color w:val="000000" w:themeColor="text1"/>
                <w:sz w:val="24"/>
                <w:szCs w:val="24"/>
              </w:rPr>
              <w:t>иректо</w:t>
            </w:r>
            <w:r w:rsidRPr="00B02C40">
              <w:rPr>
                <w:rFonts w:ascii="Times New Roman" w:hAnsi="Times New Roman" w:cs="Times New Roman"/>
                <w:bCs/>
                <w:sz w:val="24"/>
                <w:szCs w:val="24"/>
              </w:rPr>
              <w:t>р</w:t>
            </w:r>
          </w:p>
        </w:tc>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Субподрядчик</w:t>
            </w:r>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r>
      <w:tr w:rsidR="00B02C40" w:rsidRPr="00B02C40" w:rsidTr="006E29B5">
        <w:trPr>
          <w:trHeight w:val="735"/>
        </w:trPr>
        <w:tc>
          <w:tcPr>
            <w:tcW w:w="4749" w:type="dxa"/>
          </w:tcPr>
          <w:p w:rsidR="00B5778D" w:rsidRPr="00B02C40" w:rsidRDefault="00B5778D" w:rsidP="00B5778D">
            <w:pPr>
              <w:keepLines/>
              <w:suppressAutoHyphens/>
              <w:ind w:left="180" w:hanging="180"/>
              <w:rPr>
                <w:rFonts w:ascii="Times New Roman" w:hAnsi="Times New Roman" w:cs="Times New Roman"/>
                <w:sz w:val="24"/>
                <w:szCs w:val="24"/>
              </w:rPr>
            </w:pPr>
            <w:r>
              <w:rPr>
                <w:rFonts w:ascii="Times New Roman" w:hAnsi="Times New Roman" w:cs="Times New Roman"/>
                <w:sz w:val="24"/>
                <w:szCs w:val="24"/>
              </w:rPr>
              <w:t>ООО «</w:t>
            </w:r>
            <w:r w:rsidR="0039626D">
              <w:rPr>
                <w:rFonts w:ascii="Times New Roman" w:hAnsi="Times New Roman" w:cs="Times New Roman"/>
                <w:sz w:val="24"/>
                <w:szCs w:val="24"/>
              </w:rPr>
              <w:t>БЭК-ремонт</w:t>
            </w:r>
            <w:r w:rsidRPr="00B02C40">
              <w:rPr>
                <w:rFonts w:ascii="Times New Roman" w:hAnsi="Times New Roman" w:cs="Times New Roman"/>
                <w:sz w:val="24"/>
                <w:szCs w:val="24"/>
              </w:rPr>
              <w:t>»</w:t>
            </w:r>
          </w:p>
          <w:p w:rsidR="00B5778D" w:rsidRPr="00B02C40" w:rsidRDefault="00B5778D" w:rsidP="00B5778D">
            <w:pPr>
              <w:keepLines/>
              <w:suppressAutoHyphens/>
              <w:ind w:left="180" w:hanging="180"/>
              <w:rPr>
                <w:rFonts w:ascii="Times New Roman" w:hAnsi="Times New Roman" w:cs="Times New Roman"/>
                <w:sz w:val="24"/>
                <w:szCs w:val="24"/>
              </w:rPr>
            </w:pPr>
          </w:p>
          <w:p w:rsidR="00B5778D" w:rsidRPr="00B02C40" w:rsidRDefault="00B5778D" w:rsidP="00B5778D">
            <w:pPr>
              <w:keepLines/>
              <w:suppressAutoHyphens/>
              <w:rPr>
                <w:rFonts w:ascii="Times New Roman" w:hAnsi="Times New Roman" w:cs="Times New Roman"/>
                <w:sz w:val="24"/>
                <w:szCs w:val="24"/>
              </w:rPr>
            </w:pPr>
            <w:r w:rsidRPr="00B02C40">
              <w:rPr>
                <w:rFonts w:ascii="Times New Roman" w:hAnsi="Times New Roman" w:cs="Times New Roman"/>
                <w:sz w:val="24"/>
                <w:szCs w:val="24"/>
              </w:rPr>
              <w:t xml:space="preserve">_____________________ </w:t>
            </w:r>
            <w:r w:rsidR="00593DBE">
              <w:rPr>
                <w:rFonts w:eastAsia="Calibri"/>
                <w:szCs w:val="20"/>
              </w:rPr>
              <w:t>М.В. Кудрявцев</w:t>
            </w:r>
            <w:r w:rsidR="00593DBE" w:rsidRPr="00B02C40">
              <w:rPr>
                <w:rFonts w:ascii="Times New Roman" w:hAnsi="Times New Roman" w:cs="Times New Roman"/>
                <w:sz w:val="24"/>
                <w:szCs w:val="24"/>
              </w:rPr>
              <w:t xml:space="preserve"> </w:t>
            </w:r>
            <w:bookmarkStart w:id="0" w:name="_GoBack"/>
            <w:bookmarkEnd w:id="0"/>
            <w:r w:rsidRPr="00B02C40">
              <w:rPr>
                <w:rFonts w:ascii="Times New Roman" w:hAnsi="Times New Roman" w:cs="Times New Roman"/>
                <w:sz w:val="24"/>
                <w:szCs w:val="24"/>
              </w:rPr>
              <w:t>«_____»____________</w:t>
            </w:r>
            <w:r>
              <w:rPr>
                <w:rFonts w:ascii="Times New Roman" w:hAnsi="Times New Roman" w:cs="Times New Roman"/>
                <w:sz w:val="24"/>
                <w:szCs w:val="24"/>
              </w:rPr>
              <w:t>20___</w:t>
            </w:r>
            <w:r w:rsidRPr="00B02C40">
              <w:rPr>
                <w:rFonts w:ascii="Times New Roman" w:hAnsi="Times New Roman" w:cs="Times New Roman"/>
                <w:sz w:val="24"/>
                <w:szCs w:val="24"/>
              </w:rPr>
              <w:t xml:space="preserve"> г.</w:t>
            </w:r>
          </w:p>
          <w:p w:rsidR="00B02C40" w:rsidRPr="00B02C40" w:rsidRDefault="00B02C40" w:rsidP="006E29B5">
            <w:pPr>
              <w:keepLines/>
              <w:suppressAutoHyphens/>
              <w:rPr>
                <w:rFonts w:ascii="Times New Roman" w:hAnsi="Times New Roman" w:cs="Times New Roman"/>
                <w:sz w:val="24"/>
                <w:szCs w:val="24"/>
              </w:rPr>
            </w:pPr>
          </w:p>
        </w:tc>
        <w:tc>
          <w:tcPr>
            <w:tcW w:w="4749" w:type="dxa"/>
          </w:tcPr>
          <w:p w:rsidR="00B02C40" w:rsidRPr="00B02C40" w:rsidRDefault="00B02C40" w:rsidP="006E29B5">
            <w:pPr>
              <w:keepLines/>
              <w:suppressAutoHyphens/>
              <w:ind w:left="180" w:hanging="180"/>
              <w:rPr>
                <w:rFonts w:ascii="Times New Roman" w:hAnsi="Times New Roman" w:cs="Times New Roman"/>
                <w:sz w:val="24"/>
                <w:szCs w:val="24"/>
              </w:rPr>
            </w:pPr>
          </w:p>
        </w:tc>
      </w:tr>
    </w:tbl>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2"/>
      <w:headerReference w:type="first" r:id="rId13"/>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5B0" w:rsidRDefault="00FC05B0" w:rsidP="007012D2">
      <w:r>
        <w:separator/>
      </w:r>
    </w:p>
  </w:endnote>
  <w:endnote w:type="continuationSeparator" w:id="0">
    <w:p w:rsidR="00FC05B0" w:rsidRDefault="00FC05B0"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5B0" w:rsidRDefault="00FC05B0" w:rsidP="007012D2">
      <w:r>
        <w:separator/>
      </w:r>
    </w:p>
  </w:footnote>
  <w:footnote w:type="continuationSeparator" w:id="0">
    <w:p w:rsidR="00FC05B0" w:rsidRDefault="00FC05B0" w:rsidP="007012D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593DBE">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C40" w:rsidRPr="00B02C40" w:rsidRDefault="00B02C40" w:rsidP="00B02C40">
    <w:pPr>
      <w:pStyle w:val="a7"/>
      <w:jc w:val="right"/>
      <w:rPr>
        <w:sz w:val="18"/>
        <w:szCs w:val="18"/>
      </w:rPr>
    </w:pPr>
    <w:r w:rsidRPr="00B02C40">
      <w:rPr>
        <w:sz w:val="18"/>
        <w:szCs w:val="18"/>
      </w:rPr>
      <w:t xml:space="preserve">Приложение № </w:t>
    </w:r>
    <w:r w:rsidR="00B5778D">
      <w:rPr>
        <w:sz w:val="18"/>
        <w:szCs w:val="18"/>
      </w:rPr>
      <w:t>10</w:t>
    </w:r>
  </w:p>
  <w:p w:rsidR="00DA23A5" w:rsidRPr="00B02C40" w:rsidRDefault="00B02C40" w:rsidP="00B5778D">
    <w:pPr>
      <w:pStyle w:val="a7"/>
      <w:jc w:val="right"/>
    </w:pPr>
    <w:r w:rsidRPr="00B02C40">
      <w:rPr>
        <w:sz w:val="18"/>
        <w:szCs w:val="18"/>
      </w:rPr>
      <w:t>к Договору</w:t>
    </w:r>
    <w:r w:rsidR="00B5778D">
      <w:rPr>
        <w:sz w:val="18"/>
        <w:szCs w:val="18"/>
      </w:rPr>
      <w:t xml:space="preserve"> субподряда</w:t>
    </w:r>
    <w:r w:rsidRPr="00B02C40">
      <w:rPr>
        <w:sz w:val="18"/>
        <w:szCs w:val="18"/>
      </w:rPr>
      <w:t xml:space="preserve"> №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15:restartNumberingAfterBreak="0">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15:restartNumberingAfterBreak="0">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15:restartNumberingAfterBreak="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15:restartNumberingAfterBreak="0">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15:restartNumberingAfterBreak="0">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D68"/>
    <w:rsid w:val="003513D2"/>
    <w:rsid w:val="00351A29"/>
    <w:rsid w:val="003521E5"/>
    <w:rsid w:val="0035782E"/>
    <w:rsid w:val="0036168D"/>
    <w:rsid w:val="003636CD"/>
    <w:rsid w:val="003710A6"/>
    <w:rsid w:val="00371CF8"/>
    <w:rsid w:val="00385DE4"/>
    <w:rsid w:val="00394CF8"/>
    <w:rsid w:val="0039626D"/>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93DBE"/>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5B0"/>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0178BFD-25C9-4D77-9F3E-83EDC2CC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2.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35BBD77-BF2F-42CB-85E3-4173E278F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9225</Words>
  <Characters>52585</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Layko Anastasiya</cp:lastModifiedBy>
  <cp:revision>14</cp:revision>
  <cp:lastPrinted>2020-08-19T15:18:00Z</cp:lastPrinted>
  <dcterms:created xsi:type="dcterms:W3CDTF">2021-04-19T04:14:00Z</dcterms:created>
  <dcterms:modified xsi:type="dcterms:W3CDTF">2023-07-25T02:47:00Z</dcterms:modified>
</cp:coreProperties>
</file>